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64AFD" w14:textId="77777777" w:rsidR="00EA131D" w:rsidRDefault="003C0955">
      <w:pPr>
        <w:jc w:val="center"/>
      </w:pPr>
      <w:r>
        <w:br/>
      </w:r>
      <w:r>
        <w:rPr>
          <w:rFonts w:ascii="Calibri" w:hAnsi="Calibri"/>
          <w:sz w:val="28"/>
          <w:szCs w:val="28"/>
          <w:u w:val="single"/>
        </w:rPr>
        <w:t>Comunicato stampa</w:t>
      </w:r>
    </w:p>
    <w:p w14:paraId="7DB77FC2" w14:textId="77777777" w:rsidR="00EA131D" w:rsidRDefault="00EA131D">
      <w:pPr>
        <w:pStyle w:val="Intestazione"/>
        <w:jc w:val="both"/>
        <w:rPr>
          <w:rFonts w:ascii="Calibri" w:hAnsi="Calibri"/>
          <w:sz w:val="22"/>
          <w:szCs w:val="22"/>
        </w:rPr>
      </w:pPr>
    </w:p>
    <w:p w14:paraId="03AD29FE" w14:textId="77777777" w:rsidR="00EA131D" w:rsidRDefault="003C0955">
      <w:pPr>
        <w:pStyle w:val="Intestazione"/>
        <w:ind w:left="-360" w:firstLine="360"/>
        <w:jc w:val="center"/>
        <w:rPr>
          <w:rFonts w:ascii="Calibri" w:hAnsi="Calibri"/>
          <w:b/>
          <w:bCs/>
          <w:sz w:val="28"/>
          <w:szCs w:val="28"/>
        </w:rPr>
      </w:pPr>
      <w:r>
        <w:rPr>
          <w:rFonts w:ascii="Calibri" w:hAnsi="Calibri"/>
          <w:b/>
          <w:bCs/>
          <w:sz w:val="28"/>
          <w:szCs w:val="28"/>
        </w:rPr>
        <w:t>Conclusi i lavori di collegamento delle reti fognarie di Spinetta Marengo, Cascinagrossa, Litta Parodi e Mandrogne alla rete di depurazione di Alessandria.</w:t>
      </w:r>
    </w:p>
    <w:p w14:paraId="2530BA22" w14:textId="66D22DC8" w:rsidR="00EA131D" w:rsidRDefault="00F42353">
      <w:pPr>
        <w:pStyle w:val="Intestazione"/>
        <w:ind w:left="-360" w:firstLine="360"/>
        <w:jc w:val="center"/>
        <w:rPr>
          <w:rFonts w:ascii="Calibri" w:hAnsi="Calibri"/>
          <w:bCs/>
          <w:i/>
          <w:sz w:val="28"/>
          <w:szCs w:val="28"/>
        </w:rPr>
      </w:pPr>
      <w:r>
        <w:rPr>
          <w:rFonts w:ascii="Calibri" w:hAnsi="Calibri"/>
          <w:bCs/>
          <w:i/>
          <w:sz w:val="28"/>
          <w:szCs w:val="28"/>
        </w:rPr>
        <w:t xml:space="preserve">Investiti </w:t>
      </w:r>
      <w:r w:rsidR="0028230C">
        <w:rPr>
          <w:rFonts w:ascii="Calibri" w:hAnsi="Calibri"/>
          <w:bCs/>
          <w:i/>
          <w:sz w:val="28"/>
          <w:szCs w:val="28"/>
        </w:rPr>
        <w:t>oltre 2,5 milioni di</w:t>
      </w:r>
      <w:r w:rsidR="003C0955">
        <w:rPr>
          <w:rFonts w:ascii="Calibri" w:hAnsi="Calibri"/>
          <w:bCs/>
          <w:i/>
          <w:sz w:val="28"/>
          <w:szCs w:val="28"/>
        </w:rPr>
        <w:t xml:space="preserve"> euro per la sostenibilità ambientale del territorio e per la tutela dei corsi d’acqua.</w:t>
      </w:r>
    </w:p>
    <w:p w14:paraId="5961816B" w14:textId="77777777" w:rsidR="00EA131D" w:rsidRDefault="00EA131D">
      <w:pPr>
        <w:pStyle w:val="Intestazione"/>
        <w:jc w:val="both"/>
        <w:rPr>
          <w:rFonts w:ascii="Calibri" w:hAnsi="Calibri"/>
          <w:sz w:val="22"/>
          <w:szCs w:val="22"/>
        </w:rPr>
      </w:pPr>
    </w:p>
    <w:p w14:paraId="0CAEC243" w14:textId="77777777" w:rsidR="00EA131D" w:rsidRDefault="003C0955">
      <w:pPr>
        <w:jc w:val="both"/>
        <w:rPr>
          <w:rFonts w:ascii="Calibri" w:hAnsi="Calibri"/>
          <w:sz w:val="22"/>
          <w:szCs w:val="22"/>
        </w:rPr>
      </w:pPr>
      <w:r>
        <w:rPr>
          <w:rFonts w:ascii="Calibri" w:hAnsi="Calibri"/>
          <w:sz w:val="22"/>
          <w:szCs w:val="22"/>
        </w:rPr>
        <w:t>L’intervento che viene presentato oggi rappresenta l’ultimo tassello di un lavoro complesso e avviato diversi anni fa, e che ora grazie all’investimento di</w:t>
      </w:r>
      <w:r>
        <w:rPr>
          <w:rFonts w:ascii="Calibri" w:hAnsi="Calibri"/>
          <w:b/>
          <w:bCs/>
          <w:sz w:val="22"/>
          <w:szCs w:val="22"/>
        </w:rPr>
        <w:t xml:space="preserve"> AMAG Reti Idriche</w:t>
      </w:r>
      <w:r>
        <w:rPr>
          <w:rFonts w:ascii="Calibri" w:hAnsi="Calibri"/>
          <w:sz w:val="22"/>
          <w:szCs w:val="22"/>
        </w:rPr>
        <w:t xml:space="preserve"> consentirà di dotare una vasta porzione della Fraschetta del collegamento fognario alla rete cittadina di Alessandria. I lavori hanno interessato le reti fognarie di </w:t>
      </w:r>
      <w:r>
        <w:rPr>
          <w:rFonts w:ascii="Calibri" w:hAnsi="Calibri"/>
          <w:b/>
          <w:bCs/>
          <w:sz w:val="22"/>
          <w:szCs w:val="22"/>
        </w:rPr>
        <w:t xml:space="preserve">Spinetta </w:t>
      </w:r>
      <w:r>
        <w:rPr>
          <w:rFonts w:ascii="Calibri" w:hAnsi="Calibri"/>
          <w:b/>
          <w:bCs/>
          <w:sz w:val="22"/>
          <w:szCs w:val="22"/>
          <w:highlight w:val="white"/>
        </w:rPr>
        <w:t>Marengo</w:t>
      </w:r>
      <w:r>
        <w:rPr>
          <w:rFonts w:ascii="Calibri" w:hAnsi="Calibri"/>
          <w:sz w:val="22"/>
          <w:szCs w:val="22"/>
          <w:highlight w:val="white"/>
        </w:rPr>
        <w:t xml:space="preserve">, </w:t>
      </w:r>
      <w:r>
        <w:rPr>
          <w:rFonts w:ascii="Calibri" w:hAnsi="Calibri"/>
          <w:b/>
          <w:bCs/>
          <w:sz w:val="22"/>
          <w:szCs w:val="22"/>
          <w:highlight w:val="white"/>
        </w:rPr>
        <w:t>Cascinagrossa</w:t>
      </w:r>
      <w:r>
        <w:rPr>
          <w:rFonts w:ascii="Calibri" w:hAnsi="Calibri"/>
          <w:sz w:val="22"/>
          <w:szCs w:val="22"/>
          <w:highlight w:val="white"/>
        </w:rPr>
        <w:t xml:space="preserve">, </w:t>
      </w:r>
      <w:r>
        <w:rPr>
          <w:rFonts w:ascii="Calibri" w:hAnsi="Calibri"/>
          <w:b/>
          <w:bCs/>
          <w:sz w:val="22"/>
          <w:szCs w:val="22"/>
          <w:highlight w:val="white"/>
        </w:rPr>
        <w:t>Litta Parodi</w:t>
      </w:r>
      <w:r>
        <w:rPr>
          <w:rFonts w:ascii="Calibri" w:hAnsi="Calibri"/>
          <w:sz w:val="22"/>
          <w:szCs w:val="22"/>
          <w:highlight w:val="white"/>
        </w:rPr>
        <w:t xml:space="preserve"> e </w:t>
      </w:r>
      <w:r>
        <w:rPr>
          <w:rFonts w:ascii="Calibri" w:hAnsi="Calibri"/>
          <w:b/>
          <w:bCs/>
          <w:sz w:val="22"/>
          <w:szCs w:val="22"/>
          <w:highlight w:val="white"/>
        </w:rPr>
        <w:t xml:space="preserve">Mandrogne </w:t>
      </w:r>
      <w:r>
        <w:rPr>
          <w:rFonts w:ascii="Calibri" w:hAnsi="Calibri"/>
          <w:sz w:val="22"/>
          <w:szCs w:val="22"/>
          <w:highlight w:val="white"/>
        </w:rPr>
        <w:t xml:space="preserve">e hanno previsto la realizzazione di </w:t>
      </w:r>
      <w:r>
        <w:rPr>
          <w:rFonts w:ascii="Calibri" w:hAnsi="Calibri"/>
          <w:b/>
          <w:bCs/>
          <w:sz w:val="22"/>
          <w:szCs w:val="22"/>
          <w:highlight w:val="white"/>
        </w:rPr>
        <w:t>due sollevamenti fognari</w:t>
      </w:r>
      <w:r>
        <w:rPr>
          <w:rFonts w:ascii="Calibri" w:hAnsi="Calibri"/>
          <w:sz w:val="22"/>
          <w:szCs w:val="22"/>
          <w:highlight w:val="white"/>
        </w:rPr>
        <w:t xml:space="preserve">, quello di Spinetta Marengo e quello denominato </w:t>
      </w:r>
      <w:proofErr w:type="spellStart"/>
      <w:r>
        <w:rPr>
          <w:rFonts w:ascii="Calibri" w:hAnsi="Calibri"/>
          <w:sz w:val="22"/>
          <w:szCs w:val="22"/>
          <w:highlight w:val="white"/>
        </w:rPr>
        <w:t>Pederbona</w:t>
      </w:r>
      <w:proofErr w:type="spellEnd"/>
      <w:r>
        <w:rPr>
          <w:rFonts w:ascii="Calibri" w:hAnsi="Calibri"/>
          <w:sz w:val="22"/>
          <w:szCs w:val="22"/>
          <w:highlight w:val="white"/>
        </w:rPr>
        <w:t>, in quanto non lontano dall’omonima cascina.</w:t>
      </w:r>
    </w:p>
    <w:p w14:paraId="275F3665" w14:textId="77777777" w:rsidR="00EA131D" w:rsidRDefault="00EA131D">
      <w:pPr>
        <w:jc w:val="both"/>
        <w:rPr>
          <w:rFonts w:ascii="Calibri" w:hAnsi="Calibri"/>
          <w:strike/>
          <w:sz w:val="22"/>
          <w:szCs w:val="22"/>
        </w:rPr>
      </w:pPr>
    </w:p>
    <w:p w14:paraId="0AB6810F" w14:textId="77777777" w:rsidR="00EA131D" w:rsidRDefault="003C0955">
      <w:pPr>
        <w:jc w:val="both"/>
        <w:rPr>
          <w:rFonts w:ascii="Calibri" w:hAnsi="Calibri"/>
          <w:bCs/>
          <w:sz w:val="22"/>
          <w:szCs w:val="22"/>
        </w:rPr>
      </w:pPr>
      <w:r>
        <w:rPr>
          <w:rFonts w:ascii="Calibri" w:hAnsi="Calibri"/>
          <w:sz w:val="22"/>
          <w:szCs w:val="22"/>
        </w:rPr>
        <w:t xml:space="preserve">I lavori di ultimazione sono iniziati il 23 aprile scorso e si sono chiusi il 31 agosto. </w:t>
      </w:r>
      <w:r>
        <w:rPr>
          <w:rFonts w:ascii="Calibri" w:hAnsi="Calibri"/>
          <w:bCs/>
          <w:sz w:val="22"/>
          <w:szCs w:val="22"/>
        </w:rPr>
        <w:t xml:space="preserve">Ai primi di ottobre, una volta terminato l’allacciamento elettrico necessario, i due collegamenti fognari sono entrati regolarmente in funzione. </w:t>
      </w:r>
    </w:p>
    <w:p w14:paraId="1681D10D" w14:textId="77777777" w:rsidR="00EA131D" w:rsidRDefault="003C0955">
      <w:pPr>
        <w:jc w:val="both"/>
        <w:rPr>
          <w:rFonts w:ascii="Calibri" w:hAnsi="Calibri"/>
          <w:sz w:val="22"/>
          <w:szCs w:val="22"/>
        </w:rPr>
      </w:pPr>
      <w:r>
        <w:rPr>
          <w:rFonts w:ascii="Calibri" w:hAnsi="Calibri"/>
          <w:sz w:val="22"/>
          <w:szCs w:val="22"/>
        </w:rPr>
        <w:t xml:space="preserve">Per rispettare la scadenza si è lavorato senza sosta per tutto il mese di agosto. Ad eseguire i lavori è stata la </w:t>
      </w:r>
      <w:proofErr w:type="spellStart"/>
      <w:r>
        <w:rPr>
          <w:rFonts w:ascii="Calibri" w:hAnsi="Calibri"/>
          <w:b/>
          <w:sz w:val="22"/>
          <w:szCs w:val="22"/>
        </w:rPr>
        <w:t>Gisabella</w:t>
      </w:r>
      <w:proofErr w:type="spellEnd"/>
      <w:r>
        <w:rPr>
          <w:rFonts w:ascii="Calibri" w:hAnsi="Calibri"/>
          <w:b/>
          <w:sz w:val="22"/>
          <w:szCs w:val="22"/>
        </w:rPr>
        <w:t xml:space="preserve"> S.a.s.</w:t>
      </w:r>
      <w:r>
        <w:rPr>
          <w:rFonts w:ascii="Calibri" w:hAnsi="Calibri"/>
          <w:sz w:val="22"/>
          <w:szCs w:val="22"/>
        </w:rPr>
        <w:t xml:space="preserve"> sotto la direzione di </w:t>
      </w:r>
      <w:r>
        <w:rPr>
          <w:rFonts w:ascii="Calibri" w:hAnsi="Calibri"/>
          <w:b/>
          <w:bCs/>
          <w:sz w:val="22"/>
          <w:szCs w:val="22"/>
        </w:rPr>
        <w:t>AMAG Reti Idriche,</w:t>
      </w:r>
      <w:r>
        <w:rPr>
          <w:rFonts w:ascii="Calibri" w:hAnsi="Calibri"/>
          <w:sz w:val="22"/>
          <w:szCs w:val="22"/>
        </w:rPr>
        <w:t xml:space="preserve"> nella persona dell’</w:t>
      </w:r>
      <w:r>
        <w:rPr>
          <w:rFonts w:ascii="Calibri" w:hAnsi="Calibri"/>
          <w:b/>
          <w:bCs/>
          <w:sz w:val="22"/>
          <w:szCs w:val="22"/>
        </w:rPr>
        <w:t>Ing. Simone Moscardini.</w:t>
      </w:r>
      <w:r>
        <w:rPr>
          <w:rFonts w:ascii="Calibri" w:hAnsi="Calibri"/>
          <w:sz w:val="22"/>
          <w:szCs w:val="22"/>
        </w:rPr>
        <w:t xml:space="preserve"> </w:t>
      </w:r>
    </w:p>
    <w:p w14:paraId="0D3DA6D5" w14:textId="7C44D8C2" w:rsidR="00EA131D" w:rsidRDefault="003C0955">
      <w:pPr>
        <w:jc w:val="both"/>
        <w:rPr>
          <w:rFonts w:ascii="Calibri" w:hAnsi="Calibri"/>
          <w:sz w:val="22"/>
          <w:szCs w:val="22"/>
        </w:rPr>
      </w:pPr>
      <w:r>
        <w:rPr>
          <w:rFonts w:ascii="Calibri" w:hAnsi="Calibri"/>
          <w:sz w:val="22"/>
          <w:szCs w:val="22"/>
          <w:highlight w:val="white"/>
        </w:rPr>
        <w:t xml:space="preserve">I lavori dell’intervento </w:t>
      </w:r>
      <w:r w:rsidR="00F42353">
        <w:rPr>
          <w:rFonts w:ascii="Calibri" w:hAnsi="Calibri"/>
          <w:sz w:val="22"/>
          <w:szCs w:val="22"/>
          <w:highlight w:val="white"/>
        </w:rPr>
        <w:t xml:space="preserve">relativo ai due impianti di sollevamento </w:t>
      </w:r>
      <w:r>
        <w:rPr>
          <w:rFonts w:ascii="Calibri" w:hAnsi="Calibri"/>
          <w:sz w:val="22"/>
          <w:szCs w:val="22"/>
          <w:highlight w:val="white"/>
        </w:rPr>
        <w:t xml:space="preserve">sono costati </w:t>
      </w:r>
      <w:r w:rsidR="00C84145">
        <w:rPr>
          <w:rFonts w:ascii="Calibri" w:hAnsi="Calibri"/>
          <w:b/>
          <w:bCs/>
          <w:sz w:val="22"/>
          <w:szCs w:val="22"/>
          <w:highlight w:val="white"/>
        </w:rPr>
        <w:t>61</w:t>
      </w:r>
      <w:r w:rsidR="00F42353">
        <w:rPr>
          <w:rFonts w:ascii="Calibri" w:hAnsi="Calibri"/>
          <w:b/>
          <w:bCs/>
          <w:sz w:val="22"/>
          <w:szCs w:val="22"/>
          <w:highlight w:val="white"/>
        </w:rPr>
        <w:t>1</w:t>
      </w:r>
      <w:r>
        <w:rPr>
          <w:rFonts w:ascii="Calibri" w:hAnsi="Calibri"/>
          <w:b/>
          <w:bCs/>
          <w:sz w:val="22"/>
          <w:szCs w:val="22"/>
          <w:highlight w:val="white"/>
        </w:rPr>
        <w:t xml:space="preserve"> mila euro</w:t>
      </w:r>
      <w:r w:rsidR="00F42353">
        <w:rPr>
          <w:rFonts w:ascii="Calibri" w:hAnsi="Calibri"/>
          <w:b/>
          <w:bCs/>
          <w:sz w:val="22"/>
          <w:szCs w:val="22"/>
          <w:highlight w:val="white"/>
        </w:rPr>
        <w:t xml:space="preserve">, </w:t>
      </w:r>
      <w:r w:rsidR="00F42353" w:rsidRPr="00F42353">
        <w:rPr>
          <w:rFonts w:ascii="Calibri" w:hAnsi="Calibri"/>
          <w:bCs/>
          <w:sz w:val="22"/>
          <w:szCs w:val="22"/>
          <w:highlight w:val="white"/>
        </w:rPr>
        <w:t xml:space="preserve">raggiungendo </w:t>
      </w:r>
      <w:r w:rsidR="00F42353" w:rsidRPr="00F42353">
        <w:rPr>
          <w:rFonts w:ascii="Calibri" w:hAnsi="Calibri"/>
          <w:bCs/>
          <w:sz w:val="22"/>
          <w:szCs w:val="22"/>
        </w:rPr>
        <w:t>così l’importo complessivo dall’avvio del progetto di</w:t>
      </w:r>
      <w:r w:rsidR="00F42353">
        <w:rPr>
          <w:rFonts w:ascii="Calibri" w:hAnsi="Calibri"/>
          <w:b/>
          <w:bCs/>
          <w:sz w:val="22"/>
          <w:szCs w:val="22"/>
        </w:rPr>
        <w:t xml:space="preserve"> 2,5 milioni di euro.</w:t>
      </w:r>
    </w:p>
    <w:p w14:paraId="1135FB52" w14:textId="77777777" w:rsidR="00EA131D" w:rsidRDefault="00EA131D">
      <w:pPr>
        <w:jc w:val="both"/>
        <w:rPr>
          <w:rFonts w:ascii="Calibri" w:hAnsi="Calibri"/>
          <w:sz w:val="22"/>
          <w:szCs w:val="22"/>
        </w:rPr>
      </w:pPr>
    </w:p>
    <w:p w14:paraId="5EF72645" w14:textId="77777777" w:rsidR="00EA131D" w:rsidRDefault="003C0955">
      <w:pPr>
        <w:jc w:val="both"/>
        <w:rPr>
          <w:rFonts w:ascii="Calibri" w:hAnsi="Calibri"/>
          <w:sz w:val="22"/>
          <w:szCs w:val="22"/>
        </w:rPr>
      </w:pPr>
      <w:r>
        <w:rPr>
          <w:rFonts w:ascii="Calibri" w:hAnsi="Calibri"/>
          <w:sz w:val="22"/>
          <w:szCs w:val="22"/>
        </w:rPr>
        <w:t>“</w:t>
      </w:r>
      <w:r>
        <w:rPr>
          <w:rFonts w:ascii="Calibri" w:hAnsi="Calibri"/>
          <w:i/>
          <w:iCs/>
          <w:sz w:val="22"/>
          <w:szCs w:val="22"/>
        </w:rPr>
        <w:t xml:space="preserve">Circa 12 mila abitanti beneficeranno di questo fondamentale collegamento, che produrrà significativi vantaggi ambientali, attraverso la riduzione degli effetti inquinanti delle acque reflue urbane sui corsi d’acqua del territorio - </w:t>
      </w:r>
      <w:r>
        <w:rPr>
          <w:rFonts w:ascii="Calibri" w:hAnsi="Calibri"/>
          <w:sz w:val="22"/>
          <w:szCs w:val="22"/>
        </w:rPr>
        <w:t xml:space="preserve">commenta l’Amministratore Unico di AMAG Reti Idriche </w:t>
      </w:r>
      <w:r>
        <w:rPr>
          <w:rFonts w:ascii="Calibri" w:hAnsi="Calibri"/>
          <w:b/>
          <w:bCs/>
          <w:sz w:val="22"/>
          <w:szCs w:val="22"/>
        </w:rPr>
        <w:t xml:space="preserve">Mauro </w:t>
      </w:r>
      <w:proofErr w:type="spellStart"/>
      <w:r>
        <w:rPr>
          <w:rFonts w:ascii="Calibri" w:hAnsi="Calibri"/>
          <w:b/>
          <w:bCs/>
          <w:sz w:val="22"/>
          <w:szCs w:val="22"/>
        </w:rPr>
        <w:t>Bressan</w:t>
      </w:r>
      <w:proofErr w:type="spellEnd"/>
      <w:r>
        <w:rPr>
          <w:rFonts w:ascii="Calibri" w:hAnsi="Calibri"/>
          <w:i/>
          <w:iCs/>
          <w:sz w:val="22"/>
          <w:szCs w:val="22"/>
        </w:rPr>
        <w:t>. Prima di questo intervento, infatti, i reflui venivano smaltiti nel fiume dopo apposito trattamento. Ora, invece, saranno convogliati ai depuratori mediante la rete di fognatura, garantendo una maggiore sicurezza ambientale e una gestione più funzionale dell’intero processo depurativo”.</w:t>
      </w:r>
    </w:p>
    <w:p w14:paraId="4A8408B9" w14:textId="77777777" w:rsidR="00EA131D" w:rsidRDefault="00EA131D">
      <w:pPr>
        <w:jc w:val="both"/>
        <w:rPr>
          <w:rFonts w:ascii="Calibri" w:hAnsi="Calibri"/>
          <w:sz w:val="22"/>
          <w:szCs w:val="22"/>
        </w:rPr>
      </w:pPr>
    </w:p>
    <w:p w14:paraId="464F6B03" w14:textId="1C5E61A0" w:rsidR="00EA131D" w:rsidRDefault="003C0955">
      <w:pPr>
        <w:jc w:val="both"/>
        <w:rPr>
          <w:rFonts w:ascii="Calibri" w:hAnsi="Calibri"/>
          <w:sz w:val="22"/>
          <w:szCs w:val="22"/>
        </w:rPr>
      </w:pPr>
      <w:r>
        <w:rPr>
          <w:rFonts w:ascii="Calibri" w:hAnsi="Calibri"/>
          <w:sz w:val="22"/>
          <w:szCs w:val="22"/>
        </w:rPr>
        <w:t xml:space="preserve">Soddisfazione viene espressa anche dal Presidente del Gruppo AMAG, </w:t>
      </w:r>
      <w:r>
        <w:rPr>
          <w:rFonts w:ascii="Calibri" w:hAnsi="Calibri"/>
          <w:b/>
          <w:bCs/>
          <w:sz w:val="22"/>
          <w:szCs w:val="22"/>
        </w:rPr>
        <w:t xml:space="preserve">Paolo </w:t>
      </w:r>
      <w:proofErr w:type="spellStart"/>
      <w:r>
        <w:rPr>
          <w:rFonts w:ascii="Calibri" w:hAnsi="Calibri"/>
          <w:b/>
          <w:bCs/>
          <w:sz w:val="22"/>
          <w:szCs w:val="22"/>
        </w:rPr>
        <w:t>Arrobbio</w:t>
      </w:r>
      <w:proofErr w:type="spellEnd"/>
      <w:r>
        <w:rPr>
          <w:rFonts w:ascii="Calibri" w:hAnsi="Calibri"/>
          <w:sz w:val="22"/>
          <w:szCs w:val="22"/>
        </w:rPr>
        <w:t>: “</w:t>
      </w:r>
      <w:r>
        <w:rPr>
          <w:rFonts w:ascii="Calibri" w:hAnsi="Calibri"/>
          <w:i/>
          <w:iCs/>
          <w:sz w:val="22"/>
          <w:szCs w:val="22"/>
        </w:rPr>
        <w:t>Con questo interven</w:t>
      </w:r>
      <w:r w:rsidR="00D56606">
        <w:rPr>
          <w:rFonts w:ascii="Calibri" w:hAnsi="Calibri"/>
          <w:i/>
          <w:iCs/>
          <w:sz w:val="22"/>
          <w:szCs w:val="22"/>
        </w:rPr>
        <w:t>33</w:t>
      </w:r>
      <w:bookmarkStart w:id="0" w:name="_GoBack"/>
      <w:bookmarkEnd w:id="0"/>
      <w:r>
        <w:rPr>
          <w:rFonts w:ascii="Calibri" w:hAnsi="Calibri"/>
          <w:i/>
          <w:iCs/>
          <w:sz w:val="22"/>
          <w:szCs w:val="22"/>
        </w:rPr>
        <w:t>to AMAG compie un altro passo verso il pieno rispetto dei requisiti ambientali definiti dalle norme europee, nazionali e regionali e contribuisce al miglioramento della qualità della vita e dell’ambiente in un’area popolosa della nostra provincia, a cui era doveroso, dopo anni di attesa, offrire un servizio fognario moderno ed efficiente</w:t>
      </w:r>
      <w:r>
        <w:rPr>
          <w:rFonts w:ascii="Calibri" w:hAnsi="Calibri"/>
          <w:sz w:val="22"/>
          <w:szCs w:val="22"/>
        </w:rPr>
        <w:t>”.</w:t>
      </w:r>
    </w:p>
    <w:p w14:paraId="7CE9B188" w14:textId="77777777" w:rsidR="00233F42" w:rsidRPr="00233F42" w:rsidRDefault="00233F42" w:rsidP="00233F42">
      <w:pPr>
        <w:pStyle w:val="NormaleWeb"/>
        <w:spacing w:after="0" w:line="240" w:lineRule="auto"/>
        <w:jc w:val="both"/>
        <w:rPr>
          <w:rFonts w:ascii="Calibri" w:hAnsi="Calibri" w:cs="Calibri"/>
          <w:i/>
          <w:iCs/>
          <w:sz w:val="22"/>
          <w:szCs w:val="28"/>
        </w:rPr>
      </w:pPr>
      <w:r w:rsidRPr="00233F42">
        <w:rPr>
          <w:rFonts w:ascii="Calibri" w:hAnsi="Calibri" w:cs="Calibri"/>
          <w:i/>
          <w:iCs/>
          <w:sz w:val="22"/>
          <w:szCs w:val="28"/>
        </w:rPr>
        <w:t>Oggi per il territorio alessandrino è una giornata importante</w:t>
      </w:r>
      <w:r w:rsidRPr="00233F42">
        <w:rPr>
          <w:rFonts w:ascii="Calibri" w:hAnsi="Calibri" w:cs="Calibri"/>
          <w:sz w:val="22"/>
          <w:szCs w:val="28"/>
        </w:rPr>
        <w:t xml:space="preserve"> – dichiara il Sindaco di Alessandria, </w:t>
      </w:r>
      <w:r w:rsidRPr="00233F42">
        <w:rPr>
          <w:rFonts w:ascii="Calibri" w:hAnsi="Calibri" w:cs="Calibri"/>
          <w:b/>
          <w:bCs/>
          <w:sz w:val="22"/>
          <w:szCs w:val="28"/>
        </w:rPr>
        <w:t xml:space="preserve">Gianfranco </w:t>
      </w:r>
      <w:proofErr w:type="spellStart"/>
      <w:r w:rsidRPr="00233F42">
        <w:rPr>
          <w:rFonts w:ascii="Calibri" w:hAnsi="Calibri" w:cs="Calibri"/>
          <w:b/>
          <w:bCs/>
          <w:sz w:val="22"/>
          <w:szCs w:val="28"/>
        </w:rPr>
        <w:t>Cuttica</w:t>
      </w:r>
      <w:proofErr w:type="spellEnd"/>
      <w:r w:rsidRPr="00233F42">
        <w:rPr>
          <w:rFonts w:ascii="Calibri" w:hAnsi="Calibri" w:cs="Calibri"/>
          <w:b/>
          <w:bCs/>
          <w:sz w:val="22"/>
          <w:szCs w:val="28"/>
        </w:rPr>
        <w:t xml:space="preserve"> di Revigliasco</w:t>
      </w:r>
      <w:r w:rsidRPr="00233F42">
        <w:rPr>
          <w:rFonts w:ascii="Calibri" w:hAnsi="Calibri" w:cs="Calibri"/>
          <w:sz w:val="22"/>
          <w:szCs w:val="28"/>
        </w:rPr>
        <w:t xml:space="preserve"> – </w:t>
      </w:r>
      <w:r w:rsidRPr="00233F42">
        <w:rPr>
          <w:rFonts w:ascii="Calibri" w:hAnsi="Calibri" w:cs="Calibri"/>
          <w:i/>
          <w:iCs/>
          <w:sz w:val="22"/>
          <w:szCs w:val="28"/>
        </w:rPr>
        <w:t xml:space="preserve">Spesso si dedica poca attenzione a tutto quanto non è visibile, ma infrastrutture come queste rendono l’ambiente in cui viviamo più sicuro e sostenibile. La risorsa idrica è un elemento tanto essenziale quanto delicato in un’epoca sempre più caratterizzata da scarsità di risorse e cambiamenti climatici: soltanto un moderno sistema idrico integrato è in grado di affrontare le importanti sfide ambientali che ci attendono. Il collegamento della rete fognaria della Fraschetta con la rete cittadina rappresenta un esempio virtuoso del nostro orientamento affinché le importanti aree che fino a ieri sono </w:t>
      </w:r>
      <w:r w:rsidRPr="00233F42">
        <w:rPr>
          <w:rFonts w:ascii="Calibri" w:hAnsi="Calibri" w:cs="Calibri"/>
          <w:i/>
          <w:iCs/>
          <w:sz w:val="22"/>
          <w:szCs w:val="28"/>
        </w:rPr>
        <w:lastRenderedPageBreak/>
        <w:t>state considerate periferiche, entrino a tutti gli effetti a far parte dell’ambito territoriale cittadino, essendo dotate dei necessari servizi infrastrutturali”</w:t>
      </w:r>
    </w:p>
    <w:p w14:paraId="132B80B2" w14:textId="7660DC20" w:rsidR="00EA131D" w:rsidRDefault="003C0955">
      <w:pPr>
        <w:jc w:val="both"/>
        <w:rPr>
          <w:rFonts w:ascii="Calibri" w:hAnsi="Calibri"/>
          <w:i/>
          <w:sz w:val="22"/>
          <w:szCs w:val="22"/>
        </w:rPr>
      </w:pPr>
      <w:r>
        <w:rPr>
          <w:rFonts w:ascii="Calibri" w:hAnsi="Calibri"/>
          <w:sz w:val="22"/>
          <w:szCs w:val="22"/>
        </w:rPr>
        <w:t xml:space="preserve">Parole riprese anche da parte del Vice-Sindaco e Assessore alle Partecipate, </w:t>
      </w:r>
      <w:r>
        <w:rPr>
          <w:rFonts w:ascii="Calibri" w:hAnsi="Calibri"/>
          <w:b/>
          <w:sz w:val="22"/>
          <w:szCs w:val="22"/>
        </w:rPr>
        <w:t xml:space="preserve">Davide Buzzi </w:t>
      </w:r>
      <w:proofErr w:type="spellStart"/>
      <w:r>
        <w:rPr>
          <w:rFonts w:ascii="Calibri" w:hAnsi="Calibri"/>
          <w:b/>
          <w:sz w:val="22"/>
          <w:szCs w:val="22"/>
        </w:rPr>
        <w:t>Langhi</w:t>
      </w:r>
      <w:proofErr w:type="spellEnd"/>
      <w:r>
        <w:rPr>
          <w:rFonts w:ascii="Calibri" w:hAnsi="Calibri"/>
          <w:sz w:val="22"/>
          <w:szCs w:val="22"/>
        </w:rPr>
        <w:t>, che evidenzia come “</w:t>
      </w:r>
      <w:r>
        <w:rPr>
          <w:rFonts w:ascii="Calibri" w:hAnsi="Calibri"/>
          <w:i/>
          <w:sz w:val="22"/>
          <w:szCs w:val="22"/>
        </w:rPr>
        <w:t>interventi come quello realizzato da AMAG Reti Idriche rappresentano la migliore traduzione della nostra idea di Smart Land, utile a trasformare la nostra area urbana in un territorio intelligente, in cui le tecnologie devono tenere insieme sviluppo duraturo e benefici ambientali e, in ultima analisi, rendere le nostre comunità più vivibili”.</w:t>
      </w:r>
    </w:p>
    <w:p w14:paraId="06F4F785" w14:textId="77777777" w:rsidR="00EA131D" w:rsidRDefault="00EA131D">
      <w:pPr>
        <w:jc w:val="both"/>
        <w:rPr>
          <w:rFonts w:ascii="Calibri" w:hAnsi="Calibri"/>
          <w:b/>
          <w:bCs/>
          <w:sz w:val="22"/>
          <w:szCs w:val="22"/>
          <w:highlight w:val="white"/>
          <w:u w:val="single"/>
        </w:rPr>
      </w:pPr>
    </w:p>
    <w:p w14:paraId="7EC86E66" w14:textId="77777777" w:rsidR="00EA131D" w:rsidRDefault="003C0955">
      <w:pPr>
        <w:jc w:val="both"/>
        <w:rPr>
          <w:rFonts w:ascii="Calibri" w:hAnsi="Calibri"/>
          <w:sz w:val="22"/>
          <w:szCs w:val="22"/>
          <w:highlight w:val="white"/>
          <w:u w:val="single"/>
        </w:rPr>
      </w:pPr>
      <w:r>
        <w:rPr>
          <w:rFonts w:ascii="Calibri" w:hAnsi="Calibri"/>
          <w:b/>
          <w:bCs/>
          <w:sz w:val="22"/>
          <w:szCs w:val="22"/>
          <w:highlight w:val="white"/>
          <w:u w:val="single"/>
        </w:rPr>
        <w:t>I lavori</w:t>
      </w:r>
    </w:p>
    <w:p w14:paraId="6A402B06" w14:textId="77777777" w:rsidR="00EA131D" w:rsidRDefault="00EA131D">
      <w:pPr>
        <w:jc w:val="both"/>
        <w:rPr>
          <w:rFonts w:ascii="Calibri" w:hAnsi="Calibri"/>
          <w:b/>
          <w:bCs/>
          <w:sz w:val="22"/>
          <w:szCs w:val="22"/>
        </w:rPr>
      </w:pPr>
    </w:p>
    <w:p w14:paraId="3ABF7BA4" w14:textId="77777777" w:rsidR="00EA131D" w:rsidRDefault="003C0955">
      <w:pPr>
        <w:jc w:val="both"/>
        <w:rPr>
          <w:rFonts w:ascii="Calibri" w:hAnsi="Calibri"/>
          <w:sz w:val="22"/>
          <w:szCs w:val="22"/>
        </w:rPr>
      </w:pPr>
      <w:r>
        <w:rPr>
          <w:rFonts w:ascii="Calibri" w:hAnsi="Calibri"/>
          <w:sz w:val="22"/>
          <w:szCs w:val="22"/>
        </w:rPr>
        <w:t>Per la realizzazione del</w:t>
      </w:r>
      <w:r>
        <w:rPr>
          <w:rFonts w:ascii="Calibri" w:hAnsi="Calibri"/>
          <w:b/>
          <w:bCs/>
          <w:sz w:val="22"/>
          <w:szCs w:val="22"/>
        </w:rPr>
        <w:t xml:space="preserve"> sollevamento di Spinetta</w:t>
      </w:r>
      <w:r>
        <w:rPr>
          <w:rFonts w:ascii="Calibri" w:hAnsi="Calibri"/>
          <w:sz w:val="22"/>
          <w:szCs w:val="22"/>
        </w:rPr>
        <w:t xml:space="preserve"> è stata adattata una parte del vecchio depuratore del sobborgo, dimesso da tempo, ed è stato, successivamente, realizzato il necessario equipaggiamento elettromeccanico (sistema di tubazioni, pompe e parte elettrica).  </w:t>
      </w:r>
    </w:p>
    <w:p w14:paraId="5EF72316" w14:textId="77777777" w:rsidR="00EA131D" w:rsidRDefault="00EA131D">
      <w:pPr>
        <w:jc w:val="both"/>
        <w:rPr>
          <w:rFonts w:ascii="Calibri" w:hAnsi="Calibri"/>
          <w:sz w:val="22"/>
          <w:szCs w:val="22"/>
        </w:rPr>
      </w:pPr>
    </w:p>
    <w:p w14:paraId="4A09DB08" w14:textId="77777777" w:rsidR="00EA131D" w:rsidRDefault="003C0955">
      <w:pPr>
        <w:jc w:val="both"/>
        <w:rPr>
          <w:highlight w:val="white"/>
        </w:rPr>
      </w:pPr>
      <w:r>
        <w:rPr>
          <w:rFonts w:ascii="Calibri" w:hAnsi="Calibri"/>
          <w:sz w:val="22"/>
          <w:szCs w:val="22"/>
          <w:highlight w:val="white"/>
        </w:rPr>
        <w:t xml:space="preserve">Più complicato, invece, l’intervento </w:t>
      </w:r>
      <w:proofErr w:type="spellStart"/>
      <w:r>
        <w:rPr>
          <w:rFonts w:ascii="Calibri" w:hAnsi="Calibri"/>
          <w:b/>
          <w:bCs/>
          <w:sz w:val="22"/>
          <w:szCs w:val="22"/>
          <w:highlight w:val="white"/>
        </w:rPr>
        <w:t>Pederbona</w:t>
      </w:r>
      <w:proofErr w:type="spellEnd"/>
      <w:r>
        <w:rPr>
          <w:rFonts w:ascii="Calibri" w:hAnsi="Calibri"/>
          <w:sz w:val="22"/>
          <w:szCs w:val="22"/>
          <w:highlight w:val="white"/>
        </w:rPr>
        <w:t xml:space="preserve">. </w:t>
      </w:r>
    </w:p>
    <w:p w14:paraId="7724AC27" w14:textId="77777777" w:rsidR="00EA131D" w:rsidRDefault="003C0955">
      <w:pPr>
        <w:jc w:val="both"/>
        <w:rPr>
          <w:rFonts w:ascii="Calibri" w:hAnsi="Calibri"/>
          <w:sz w:val="22"/>
          <w:szCs w:val="22"/>
        </w:rPr>
      </w:pPr>
      <w:r>
        <w:rPr>
          <w:rFonts w:ascii="Calibri" w:hAnsi="Calibri"/>
          <w:sz w:val="22"/>
          <w:szCs w:val="22"/>
          <w:highlight w:val="white"/>
        </w:rPr>
        <w:t xml:space="preserve">L’elevata profondità di scavo necessaria per la realizzazione della camera di aspirazione del </w:t>
      </w:r>
      <w:proofErr w:type="gramStart"/>
      <w:r>
        <w:rPr>
          <w:rFonts w:ascii="Calibri" w:hAnsi="Calibri"/>
          <w:sz w:val="22"/>
          <w:szCs w:val="22"/>
          <w:highlight w:val="white"/>
        </w:rPr>
        <w:t>sollevamento  (</w:t>
      </w:r>
      <w:proofErr w:type="gramEnd"/>
      <w:r>
        <w:rPr>
          <w:rFonts w:ascii="Calibri" w:hAnsi="Calibri"/>
          <w:sz w:val="22"/>
          <w:szCs w:val="22"/>
          <w:highlight w:val="white"/>
        </w:rPr>
        <w:t xml:space="preserve">10 metri), unitamente alla presenza di falda, ha reso infatti necessario un intervento di consolidamento del suolo, mediante </w:t>
      </w:r>
      <w:r>
        <w:rPr>
          <w:rFonts w:ascii="Calibri" w:hAnsi="Calibri"/>
          <w:b/>
          <w:bCs/>
          <w:sz w:val="22"/>
          <w:szCs w:val="22"/>
          <w:highlight w:val="white"/>
        </w:rPr>
        <w:t>JET-GROUTING</w:t>
      </w:r>
      <w:r>
        <w:rPr>
          <w:rFonts w:ascii="Calibri" w:hAnsi="Calibri"/>
          <w:sz w:val="22"/>
          <w:szCs w:val="22"/>
          <w:highlight w:val="white"/>
        </w:rPr>
        <w:t>. Questa tecnica con</w:t>
      </w:r>
      <w:r>
        <w:rPr>
          <w:rFonts w:ascii="Calibri" w:hAnsi="Calibri"/>
          <w:sz w:val="22"/>
          <w:szCs w:val="22"/>
        </w:rPr>
        <w:t>siste nell’iniettare nel terreno una miscela cementizia, attraverso piccoli ugelli, con pressioni molto più elevate di quelle convenzionali (</w:t>
      </w:r>
      <w:r>
        <w:rPr>
          <w:rFonts w:ascii="Calibri" w:hAnsi="Calibri"/>
          <w:sz w:val="22"/>
          <w:szCs w:val="22"/>
          <w:highlight w:val="white"/>
        </w:rPr>
        <w:t xml:space="preserve">fino a 600 atmosfere o più) </w:t>
      </w:r>
      <w:r>
        <w:rPr>
          <w:rFonts w:ascii="Calibri" w:hAnsi="Calibri"/>
          <w:sz w:val="22"/>
          <w:szCs w:val="22"/>
        </w:rPr>
        <w:t xml:space="preserve">al fine di consolidare i terreni di fondazione e renderli stabili. </w:t>
      </w:r>
    </w:p>
    <w:p w14:paraId="54ED43BC" w14:textId="77777777" w:rsidR="00EA131D" w:rsidRDefault="00EA131D">
      <w:pPr>
        <w:jc w:val="both"/>
        <w:rPr>
          <w:rFonts w:ascii="Calibri" w:hAnsi="Calibri"/>
          <w:sz w:val="22"/>
          <w:szCs w:val="22"/>
        </w:rPr>
      </w:pPr>
    </w:p>
    <w:p w14:paraId="2D4C6EF8" w14:textId="77777777" w:rsidR="00EA131D" w:rsidRDefault="003C0955">
      <w:pPr>
        <w:jc w:val="both"/>
        <w:rPr>
          <w:highlight w:val="white"/>
        </w:rPr>
      </w:pPr>
      <w:r>
        <w:rPr>
          <w:rFonts w:ascii="Calibri" w:hAnsi="Calibri"/>
          <w:sz w:val="22"/>
          <w:szCs w:val="22"/>
          <w:highlight w:val="white"/>
        </w:rPr>
        <w:t xml:space="preserve">Un’altra </w:t>
      </w:r>
      <w:r w:rsidR="00404E14">
        <w:rPr>
          <w:rFonts w:ascii="Calibri" w:hAnsi="Calibri"/>
          <w:sz w:val="22"/>
          <w:szCs w:val="22"/>
          <w:highlight w:val="white"/>
        </w:rPr>
        <w:t xml:space="preserve">sfida </w:t>
      </w:r>
      <w:r>
        <w:rPr>
          <w:rFonts w:ascii="Calibri" w:hAnsi="Calibri"/>
          <w:sz w:val="22"/>
          <w:szCs w:val="22"/>
          <w:highlight w:val="white"/>
        </w:rPr>
        <w:t>realizzativa è stata data dalla presenza di gasdotti SNAM nell’area e dalle relative fasce di rispetto.</w:t>
      </w:r>
    </w:p>
    <w:p w14:paraId="6849FA9B" w14:textId="77777777" w:rsidR="00EA131D" w:rsidRDefault="003C0955">
      <w:pPr>
        <w:jc w:val="both"/>
        <w:rPr>
          <w:highlight w:val="white"/>
        </w:rPr>
      </w:pPr>
      <w:r>
        <w:rPr>
          <w:rFonts w:ascii="Calibri" w:hAnsi="Calibri"/>
          <w:sz w:val="22"/>
          <w:szCs w:val="22"/>
          <w:highlight w:val="white"/>
        </w:rPr>
        <w:tab/>
        <w:t xml:space="preserve"> </w:t>
      </w:r>
      <w:r>
        <w:rPr>
          <w:rFonts w:ascii="Calibri" w:hAnsi="Calibri"/>
          <w:sz w:val="22"/>
          <w:szCs w:val="22"/>
          <w:highlight w:val="white"/>
        </w:rPr>
        <w:br/>
        <w:t xml:space="preserve">Le fasi salienti dei lavori di realizzazione del sollevamento </w:t>
      </w:r>
      <w:proofErr w:type="spellStart"/>
      <w:r>
        <w:rPr>
          <w:rFonts w:ascii="Calibri" w:hAnsi="Calibri"/>
          <w:sz w:val="22"/>
          <w:szCs w:val="22"/>
          <w:highlight w:val="white"/>
        </w:rPr>
        <w:t>Pederbona</w:t>
      </w:r>
      <w:proofErr w:type="spellEnd"/>
      <w:r>
        <w:rPr>
          <w:rFonts w:ascii="Calibri" w:hAnsi="Calibri"/>
          <w:sz w:val="22"/>
          <w:szCs w:val="22"/>
          <w:highlight w:val="white"/>
        </w:rPr>
        <w:t xml:space="preserve"> sono state:</w:t>
      </w:r>
      <w:r>
        <w:rPr>
          <w:rFonts w:ascii="Calibri" w:hAnsi="Calibri"/>
          <w:sz w:val="22"/>
          <w:szCs w:val="22"/>
          <w:highlight w:val="white"/>
        </w:rPr>
        <w:tab/>
      </w:r>
    </w:p>
    <w:p w14:paraId="791FF654" w14:textId="77777777" w:rsidR="00EA131D" w:rsidRDefault="003C0955">
      <w:pPr>
        <w:jc w:val="both"/>
        <w:rPr>
          <w:highlight w:val="white"/>
        </w:rPr>
      </w:pPr>
      <w:r>
        <w:rPr>
          <w:rFonts w:ascii="Calibri" w:hAnsi="Calibri"/>
          <w:sz w:val="22"/>
          <w:szCs w:val="22"/>
          <w:highlight w:val="white"/>
        </w:rPr>
        <w:t xml:space="preserve">    • predisposizione viabilità su condotte SNAM</w:t>
      </w:r>
    </w:p>
    <w:p w14:paraId="5A39F58A" w14:textId="77777777" w:rsidR="00EA131D" w:rsidRDefault="003C0955">
      <w:pPr>
        <w:jc w:val="both"/>
        <w:rPr>
          <w:highlight w:val="white"/>
        </w:rPr>
      </w:pPr>
      <w:r>
        <w:rPr>
          <w:rFonts w:ascii="Calibri" w:hAnsi="Calibri"/>
          <w:sz w:val="22"/>
          <w:szCs w:val="22"/>
          <w:highlight w:val="white"/>
        </w:rPr>
        <w:t xml:space="preserve">    • realizzazione di consolidamento mediante jet-</w:t>
      </w:r>
      <w:proofErr w:type="spellStart"/>
      <w:r>
        <w:rPr>
          <w:rFonts w:ascii="Calibri" w:hAnsi="Calibri"/>
          <w:sz w:val="22"/>
          <w:szCs w:val="22"/>
          <w:highlight w:val="white"/>
        </w:rPr>
        <w:t>grouting</w:t>
      </w:r>
      <w:proofErr w:type="spellEnd"/>
    </w:p>
    <w:p w14:paraId="7C8DA73D" w14:textId="77777777" w:rsidR="00EA131D" w:rsidRDefault="003C0955">
      <w:pPr>
        <w:jc w:val="both"/>
        <w:rPr>
          <w:highlight w:val="white"/>
        </w:rPr>
      </w:pPr>
      <w:r>
        <w:rPr>
          <w:rFonts w:ascii="Calibri" w:hAnsi="Calibri"/>
          <w:sz w:val="22"/>
          <w:szCs w:val="22"/>
          <w:highlight w:val="white"/>
        </w:rPr>
        <w:t xml:space="preserve">    • scavo per realizzazione camera di aspirazione sollevamento</w:t>
      </w:r>
    </w:p>
    <w:p w14:paraId="6155D5E1" w14:textId="77777777" w:rsidR="00EA131D" w:rsidRDefault="003C0955">
      <w:pPr>
        <w:jc w:val="both"/>
        <w:rPr>
          <w:highlight w:val="white"/>
        </w:rPr>
      </w:pPr>
      <w:r>
        <w:rPr>
          <w:rFonts w:ascii="Calibri" w:hAnsi="Calibri"/>
          <w:sz w:val="22"/>
          <w:szCs w:val="22"/>
          <w:highlight w:val="white"/>
        </w:rPr>
        <w:t xml:space="preserve">    • realizzazione manufatto camera aspirazione in cemento armato</w:t>
      </w:r>
    </w:p>
    <w:p w14:paraId="34FB095B" w14:textId="77777777" w:rsidR="00EA131D" w:rsidRDefault="003C0955">
      <w:pPr>
        <w:jc w:val="both"/>
        <w:rPr>
          <w:highlight w:val="white"/>
        </w:rPr>
      </w:pPr>
      <w:r>
        <w:rPr>
          <w:rFonts w:ascii="Calibri" w:hAnsi="Calibri"/>
          <w:sz w:val="22"/>
          <w:szCs w:val="22"/>
          <w:highlight w:val="white"/>
        </w:rPr>
        <w:t xml:space="preserve">    • realizzazione cameretta di manovra </w:t>
      </w:r>
    </w:p>
    <w:p w14:paraId="1DA2C220" w14:textId="77777777" w:rsidR="00EA131D" w:rsidRDefault="003C0955">
      <w:pPr>
        <w:jc w:val="both"/>
        <w:rPr>
          <w:highlight w:val="white"/>
        </w:rPr>
      </w:pPr>
      <w:r>
        <w:rPr>
          <w:rFonts w:ascii="Calibri" w:hAnsi="Calibri"/>
          <w:sz w:val="22"/>
          <w:szCs w:val="22"/>
          <w:highlight w:val="white"/>
        </w:rPr>
        <w:t xml:space="preserve">    • realizzazione condotte di mandata delle tre pompe</w:t>
      </w:r>
    </w:p>
    <w:p w14:paraId="07FE05D8" w14:textId="77777777" w:rsidR="00EA131D" w:rsidRDefault="003C0955">
      <w:pPr>
        <w:jc w:val="both"/>
        <w:rPr>
          <w:highlight w:val="white"/>
        </w:rPr>
      </w:pPr>
      <w:r>
        <w:rPr>
          <w:rFonts w:ascii="Calibri" w:hAnsi="Calibri"/>
          <w:sz w:val="22"/>
          <w:szCs w:val="22"/>
          <w:highlight w:val="white"/>
        </w:rPr>
        <w:t xml:space="preserve">    • realizzazione collegamento idraulico con collettore già realizzato</w:t>
      </w:r>
    </w:p>
    <w:p w14:paraId="3732D622" w14:textId="77777777" w:rsidR="00EA131D" w:rsidRDefault="003C0955">
      <w:pPr>
        <w:jc w:val="both"/>
        <w:rPr>
          <w:highlight w:val="white"/>
        </w:rPr>
      </w:pPr>
      <w:r>
        <w:rPr>
          <w:rFonts w:ascii="Calibri" w:hAnsi="Calibri"/>
          <w:sz w:val="22"/>
          <w:szCs w:val="22"/>
          <w:highlight w:val="white"/>
        </w:rPr>
        <w:t xml:space="preserve">    • installazione gruppo elettrogeno e quadri elettrici</w:t>
      </w:r>
    </w:p>
    <w:p w14:paraId="344DA5B4" w14:textId="77777777" w:rsidR="00EA131D" w:rsidRDefault="003C0955">
      <w:pPr>
        <w:jc w:val="both"/>
        <w:rPr>
          <w:highlight w:val="white"/>
        </w:rPr>
      </w:pPr>
      <w:r>
        <w:rPr>
          <w:rFonts w:ascii="Calibri" w:hAnsi="Calibri"/>
          <w:sz w:val="22"/>
          <w:szCs w:val="22"/>
          <w:highlight w:val="white"/>
        </w:rPr>
        <w:t xml:space="preserve">    • installazione elettropompe</w:t>
      </w:r>
    </w:p>
    <w:p w14:paraId="21DAAB95" w14:textId="77777777" w:rsidR="00EA131D" w:rsidRDefault="003C0955">
      <w:pPr>
        <w:jc w:val="both"/>
        <w:rPr>
          <w:highlight w:val="white"/>
        </w:rPr>
      </w:pPr>
      <w:r>
        <w:rPr>
          <w:rFonts w:ascii="Calibri" w:hAnsi="Calibri"/>
          <w:sz w:val="22"/>
          <w:szCs w:val="22"/>
          <w:highlight w:val="white"/>
        </w:rPr>
        <w:t xml:space="preserve">    • interventi di finitura (recinzione, illuminazione, ecc.).</w:t>
      </w:r>
    </w:p>
    <w:p w14:paraId="5CF527A7" w14:textId="77777777" w:rsidR="00EA131D" w:rsidRDefault="00EA131D">
      <w:pPr>
        <w:jc w:val="both"/>
        <w:rPr>
          <w:rFonts w:ascii="Calibri" w:hAnsi="Calibri"/>
          <w:sz w:val="22"/>
          <w:szCs w:val="22"/>
        </w:rPr>
      </w:pPr>
    </w:p>
    <w:p w14:paraId="43FF182C" w14:textId="77777777" w:rsidR="00EA131D" w:rsidRDefault="003C0955">
      <w:pPr>
        <w:jc w:val="both"/>
        <w:rPr>
          <w:rFonts w:ascii="Calibri" w:hAnsi="Calibri"/>
          <w:sz w:val="22"/>
          <w:szCs w:val="22"/>
        </w:rPr>
      </w:pPr>
      <w:r>
        <w:rPr>
          <w:rFonts w:ascii="Calibri" w:hAnsi="Calibri"/>
          <w:sz w:val="22"/>
          <w:szCs w:val="22"/>
        </w:rPr>
        <w:t>Infine, la piovosità eccezionale che si è verificata nei mesi primaverili ed estivi ha rappresentato un’ulteriore complicazione nei cantieri, che è comunque stata superata.</w:t>
      </w:r>
    </w:p>
    <w:p w14:paraId="2C4F160B" w14:textId="77777777" w:rsidR="00EA131D" w:rsidRDefault="00EA131D">
      <w:pPr>
        <w:jc w:val="both"/>
        <w:rPr>
          <w:rFonts w:ascii="Calibri" w:hAnsi="Calibri"/>
          <w:sz w:val="22"/>
          <w:szCs w:val="22"/>
        </w:rPr>
      </w:pPr>
    </w:p>
    <w:p w14:paraId="710D7777" w14:textId="77777777" w:rsidR="00EA131D" w:rsidRDefault="00EA131D">
      <w:pPr>
        <w:jc w:val="both"/>
        <w:rPr>
          <w:rFonts w:ascii="Calibri" w:hAnsi="Calibri"/>
          <w:sz w:val="22"/>
          <w:szCs w:val="22"/>
        </w:rPr>
      </w:pPr>
    </w:p>
    <w:p w14:paraId="2CACF769" w14:textId="77777777" w:rsidR="00EA131D" w:rsidRDefault="00EA131D">
      <w:pPr>
        <w:jc w:val="both"/>
        <w:rPr>
          <w:rFonts w:ascii="Calibri" w:hAnsi="Calibri"/>
          <w:sz w:val="22"/>
          <w:szCs w:val="22"/>
        </w:rPr>
      </w:pPr>
    </w:p>
    <w:p w14:paraId="4A980BF0" w14:textId="2C4C9CA1" w:rsidR="00EA131D" w:rsidRDefault="00EA131D">
      <w:pPr>
        <w:jc w:val="both"/>
        <w:rPr>
          <w:rFonts w:ascii="Calibri" w:hAnsi="Calibri"/>
          <w:sz w:val="22"/>
          <w:szCs w:val="22"/>
        </w:rPr>
      </w:pPr>
    </w:p>
    <w:p w14:paraId="460ECC48" w14:textId="77777777" w:rsidR="00EA131D" w:rsidRDefault="00EA131D">
      <w:pPr>
        <w:jc w:val="both"/>
        <w:rPr>
          <w:rFonts w:ascii="Calibri" w:hAnsi="Calibri"/>
          <w:sz w:val="22"/>
          <w:szCs w:val="22"/>
        </w:rPr>
      </w:pPr>
    </w:p>
    <w:p w14:paraId="40BFB4AE" w14:textId="77777777" w:rsidR="00EA131D" w:rsidRDefault="00EA131D">
      <w:pPr>
        <w:jc w:val="both"/>
        <w:rPr>
          <w:rFonts w:ascii="Calibri" w:hAnsi="Calibri"/>
          <w:sz w:val="22"/>
          <w:szCs w:val="22"/>
        </w:rPr>
      </w:pPr>
    </w:p>
    <w:sectPr w:rsidR="00EA131D">
      <w:headerReference w:type="default" r:id="rId7"/>
      <w:footerReference w:type="default" r:id="rId8"/>
      <w:pgSz w:w="11906" w:h="16838"/>
      <w:pgMar w:top="2466" w:right="1474" w:bottom="1134" w:left="1080" w:header="0" w:footer="113"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FB923" w14:textId="77777777" w:rsidR="00AA7A6A" w:rsidRDefault="00AA7A6A">
      <w:r>
        <w:separator/>
      </w:r>
    </w:p>
  </w:endnote>
  <w:endnote w:type="continuationSeparator" w:id="0">
    <w:p w14:paraId="1C8D91BE" w14:textId="77777777" w:rsidR="00AA7A6A" w:rsidRDefault="00AA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roman"/>
    <w:pitch w:val="variable"/>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799BF" w14:textId="77777777" w:rsidR="00EA131D" w:rsidRDefault="00EA131D"/>
  <w:tbl>
    <w:tblPr>
      <w:tblW w:w="10456" w:type="dxa"/>
      <w:tblLook w:val="04A0" w:firstRow="1" w:lastRow="0" w:firstColumn="1" w:lastColumn="0" w:noHBand="0" w:noVBand="1"/>
    </w:tblPr>
    <w:tblGrid>
      <w:gridCol w:w="8410"/>
      <w:gridCol w:w="2046"/>
    </w:tblGrid>
    <w:tr w:rsidR="00EA131D" w14:paraId="39842ECA" w14:textId="77777777">
      <w:trPr>
        <w:trHeight w:val="389"/>
      </w:trPr>
      <w:tc>
        <w:tcPr>
          <w:tcW w:w="8409" w:type="dxa"/>
          <w:shd w:val="clear" w:color="auto" w:fill="auto"/>
        </w:tcPr>
        <w:p w14:paraId="785200BC" w14:textId="77777777" w:rsidR="00EA131D" w:rsidRDefault="003C0955">
          <w:pPr>
            <w:rPr>
              <w:rFonts w:ascii="Arial" w:hAnsi="Arial" w:cs="Arial"/>
              <w:sz w:val="16"/>
              <w:szCs w:val="16"/>
            </w:rPr>
          </w:pPr>
          <w:r>
            <w:rPr>
              <w:rFonts w:ascii="Arial" w:hAnsi="Arial" w:cs="Arial"/>
              <w:b/>
              <w:sz w:val="16"/>
              <w:szCs w:val="16"/>
            </w:rPr>
            <w:t>AMAG RETI IDRICHE</w:t>
          </w:r>
          <w:r>
            <w:rPr>
              <w:rFonts w:ascii="Arial" w:hAnsi="Arial" w:cs="Arial"/>
              <w:sz w:val="16"/>
              <w:szCs w:val="16"/>
            </w:rPr>
            <w:t xml:space="preserve"> S.p.A. Capitale sociale euro 100.000,00 </w:t>
          </w:r>
          <w:proofErr w:type="spellStart"/>
          <w:r>
            <w:rPr>
              <w:rFonts w:ascii="Arial" w:hAnsi="Arial" w:cs="Arial"/>
              <w:sz w:val="16"/>
              <w:szCs w:val="16"/>
            </w:rPr>
            <w:t>i.v</w:t>
          </w:r>
          <w:proofErr w:type="spellEnd"/>
          <w:r>
            <w:rPr>
              <w:rFonts w:ascii="Arial" w:hAnsi="Arial" w:cs="Arial"/>
              <w:sz w:val="16"/>
              <w:szCs w:val="16"/>
            </w:rPr>
            <w:t>.</w:t>
          </w:r>
        </w:p>
        <w:p w14:paraId="7CF33004" w14:textId="77777777" w:rsidR="00EA131D" w:rsidRDefault="003C0955">
          <w:pPr>
            <w:rPr>
              <w:rFonts w:ascii="Arial" w:hAnsi="Arial" w:cs="Arial"/>
              <w:sz w:val="16"/>
              <w:szCs w:val="16"/>
            </w:rPr>
          </w:pPr>
          <w:r>
            <w:rPr>
              <w:rFonts w:ascii="Arial" w:hAnsi="Arial" w:cs="Arial"/>
              <w:sz w:val="16"/>
              <w:szCs w:val="16"/>
            </w:rPr>
            <w:t xml:space="preserve">Registro imprese, Codice fiscale, Partita IVA: 02525300063 </w:t>
          </w:r>
        </w:p>
        <w:p w14:paraId="1886163F" w14:textId="77777777" w:rsidR="00EA131D" w:rsidRDefault="003C0955">
          <w:pPr>
            <w:rPr>
              <w:rFonts w:ascii="Arial" w:hAnsi="Arial" w:cs="Arial"/>
              <w:sz w:val="16"/>
              <w:szCs w:val="16"/>
            </w:rPr>
          </w:pPr>
          <w:r>
            <w:rPr>
              <w:rFonts w:ascii="Arial" w:hAnsi="Arial" w:cs="Arial"/>
              <w:sz w:val="16"/>
              <w:szCs w:val="16"/>
            </w:rPr>
            <w:t>Società unipersonale soggetta all’attività di direzione e coordinamento di AMAG S.p.A.</w:t>
          </w:r>
        </w:p>
        <w:p w14:paraId="6B102E0D" w14:textId="77777777" w:rsidR="00EA131D" w:rsidRDefault="003C0955">
          <w:pPr>
            <w:rPr>
              <w:rFonts w:ascii="Arial" w:hAnsi="Arial" w:cs="Arial"/>
              <w:sz w:val="16"/>
              <w:szCs w:val="16"/>
            </w:rPr>
          </w:pPr>
          <w:r>
            <w:rPr>
              <w:rFonts w:ascii="Arial" w:hAnsi="Arial" w:cs="Arial"/>
              <w:sz w:val="16"/>
              <w:szCs w:val="16"/>
            </w:rPr>
            <w:t xml:space="preserve">Sede legale e operativa: Via Damiano Chiesa 18, 15121 Alessandria </w:t>
          </w:r>
        </w:p>
        <w:p w14:paraId="66C38748" w14:textId="77777777" w:rsidR="00EA131D" w:rsidRDefault="003C0955">
          <w:pPr>
            <w:rPr>
              <w:rFonts w:ascii="Arial" w:hAnsi="Arial" w:cs="Arial"/>
              <w:b/>
              <w:sz w:val="16"/>
              <w:szCs w:val="16"/>
              <w:lang w:val="en-US"/>
            </w:rPr>
          </w:pPr>
          <w:r>
            <w:rPr>
              <w:rFonts w:ascii="Arial" w:hAnsi="Arial" w:cs="Arial"/>
              <w:sz w:val="16"/>
              <w:szCs w:val="16"/>
              <w:lang w:val="en-US"/>
            </w:rPr>
            <w:t>tel. 0131 283611 - fax 0131 267220 - pec: amagretiidriche@legalmail.it - www.gruppoamag.it</w:t>
          </w:r>
        </w:p>
      </w:tc>
      <w:tc>
        <w:tcPr>
          <w:tcW w:w="2046" w:type="dxa"/>
          <w:shd w:val="clear" w:color="auto" w:fill="auto"/>
        </w:tcPr>
        <w:p w14:paraId="7629B7FC" w14:textId="77777777" w:rsidR="00EA131D" w:rsidRDefault="003C0955">
          <w:pPr>
            <w:pStyle w:val="Intestazione"/>
            <w:ind w:left="-360" w:firstLine="360"/>
            <w:rPr>
              <w:sz w:val="18"/>
              <w:lang w:val="en-GB"/>
            </w:rPr>
          </w:pPr>
          <w:r>
            <w:rPr>
              <w:noProof/>
            </w:rPr>
            <w:drawing>
              <wp:inline distT="0" distB="0" distL="0" distR="0" wp14:anchorId="6D4837CC" wp14:editId="06918320">
                <wp:extent cx="1156970" cy="46799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stretch>
                          <a:fillRect/>
                        </a:stretch>
                      </pic:blipFill>
                      <pic:spPr bwMode="auto">
                        <a:xfrm>
                          <a:off x="0" y="0"/>
                          <a:ext cx="1156970" cy="467995"/>
                        </a:xfrm>
                        <a:prstGeom prst="rect">
                          <a:avLst/>
                        </a:prstGeom>
                      </pic:spPr>
                    </pic:pic>
                  </a:graphicData>
                </a:graphic>
              </wp:inline>
            </w:drawing>
          </w:r>
        </w:p>
      </w:tc>
    </w:tr>
  </w:tbl>
  <w:p w14:paraId="1F03D91F" w14:textId="77777777" w:rsidR="00EA131D" w:rsidRDefault="00EA131D">
    <w:pPr>
      <w:pStyle w:val="Pidipagina"/>
      <w:tabs>
        <w:tab w:val="center" w:pos="4676"/>
        <w:tab w:val="right" w:pos="9352"/>
      </w:tabs>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C88E9" w14:textId="77777777" w:rsidR="00AA7A6A" w:rsidRDefault="00AA7A6A">
      <w:r>
        <w:separator/>
      </w:r>
    </w:p>
  </w:footnote>
  <w:footnote w:type="continuationSeparator" w:id="0">
    <w:p w14:paraId="58B88C1A" w14:textId="77777777" w:rsidR="00AA7A6A" w:rsidRDefault="00AA7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E8639" w14:textId="77777777" w:rsidR="00EA131D" w:rsidRDefault="00EA131D">
    <w:pPr>
      <w:pStyle w:val="Intestazione"/>
      <w:ind w:left="-360" w:firstLine="360"/>
      <w:rPr>
        <w:sz w:val="18"/>
      </w:rPr>
    </w:pPr>
  </w:p>
  <w:p w14:paraId="06100969" w14:textId="77777777" w:rsidR="00EA131D" w:rsidRDefault="00EA131D">
    <w:pPr>
      <w:pStyle w:val="Intestazione"/>
      <w:ind w:left="-360" w:firstLine="360"/>
      <w:jc w:val="center"/>
      <w:rPr>
        <w:sz w:val="18"/>
      </w:rPr>
    </w:pPr>
  </w:p>
  <w:p w14:paraId="3045A64F" w14:textId="77777777" w:rsidR="00EA131D" w:rsidRDefault="003C0955">
    <w:pPr>
      <w:pStyle w:val="Intestazione"/>
      <w:ind w:left="-360" w:firstLine="360"/>
      <w:jc w:val="center"/>
    </w:pPr>
    <w:r>
      <w:rPr>
        <w:noProof/>
      </w:rPr>
      <w:drawing>
        <wp:inline distT="0" distB="0" distL="0" distR="0" wp14:anchorId="05503856" wp14:editId="718DF04A">
          <wp:extent cx="972185" cy="11334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972185" cy="1133475"/>
                  </a:xfrm>
                  <a:prstGeom prst="rect">
                    <a:avLst/>
                  </a:prstGeom>
                </pic:spPr>
              </pic:pic>
            </a:graphicData>
          </a:graphic>
        </wp:inline>
      </w:drawing>
    </w:r>
  </w:p>
  <w:p w14:paraId="7B0A0222" w14:textId="77777777" w:rsidR="00EA131D" w:rsidRDefault="00EA131D">
    <w:pPr>
      <w:pStyle w:val="Intestazione"/>
      <w:ind w:left="-360" w:firstLine="360"/>
      <w:jc w:val="center"/>
      <w:rPr>
        <w:sz w:val="18"/>
      </w:rPr>
    </w:pPr>
  </w:p>
  <w:p w14:paraId="4A00BF99" w14:textId="77777777" w:rsidR="00EA131D" w:rsidRDefault="00EA131D">
    <w:pPr>
      <w:pStyle w:val="Intestazione"/>
      <w:ind w:left="-360" w:firstLine="360"/>
      <w:jc w:val="center"/>
      <w:rPr>
        <w:sz w:val="18"/>
      </w:rPr>
    </w:pPr>
  </w:p>
  <w:p w14:paraId="19C32421" w14:textId="77777777" w:rsidR="00EA131D" w:rsidRDefault="003C0955">
    <w:pPr>
      <w:pStyle w:val="Intestazione"/>
      <w:ind w:left="-360" w:firstLine="360"/>
      <w:jc w:val="right"/>
      <w:rPr>
        <w:rFonts w:ascii="Calibri" w:hAnsi="Calibri"/>
        <w:i/>
        <w:iCs/>
        <w:sz w:val="22"/>
        <w:szCs w:val="22"/>
      </w:rPr>
    </w:pPr>
    <w:r>
      <w:rPr>
        <w:rFonts w:ascii="Calibri" w:hAnsi="Calibri"/>
        <w:i/>
        <w:iCs/>
        <w:sz w:val="22"/>
        <w:szCs w:val="22"/>
      </w:rPr>
      <w:t>Alessandria, 26 ottobre 2018</w:t>
    </w:r>
  </w:p>
  <w:p w14:paraId="6E4DCDC4" w14:textId="77777777" w:rsidR="00EA131D" w:rsidRDefault="00EA131D">
    <w:pPr>
      <w:pStyle w:val="Intestazione"/>
      <w:ind w:left="-360" w:firstLine="360"/>
      <w:jc w:val="center"/>
      <w:rPr>
        <w:rFonts w:ascii="Calibri" w:hAnsi="Calibri"/>
        <w:sz w:val="20"/>
        <w:szCs w:val="20"/>
      </w:rPr>
    </w:pPr>
  </w:p>
  <w:p w14:paraId="39DBD8DB" w14:textId="77777777" w:rsidR="00EA131D" w:rsidRDefault="00EA131D">
    <w:pPr>
      <w:pStyle w:val="Intestazione"/>
      <w:ind w:left="-360" w:firstLine="360"/>
      <w:jc w:val="center"/>
      <w:rPr>
        <w:rFonts w:ascii="Calibri" w:hAnsi="Calibr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31D"/>
    <w:rsid w:val="00233F42"/>
    <w:rsid w:val="0028230C"/>
    <w:rsid w:val="002C0C7F"/>
    <w:rsid w:val="003C0955"/>
    <w:rsid w:val="00404E14"/>
    <w:rsid w:val="00AA7A6A"/>
    <w:rsid w:val="00C84145"/>
    <w:rsid w:val="00D56606"/>
    <w:rsid w:val="00EA131D"/>
    <w:rsid w:val="00F4235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B2F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color w:val="00000A"/>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212418"/>
    <w:rPr>
      <w:color w:val="0000FF"/>
      <w:u w:val="single"/>
    </w:rPr>
  </w:style>
  <w:style w:type="character" w:customStyle="1" w:styleId="Menzionenonrisolta1">
    <w:name w:val="Menzione non risolta1"/>
    <w:uiPriority w:val="99"/>
    <w:semiHidden/>
    <w:unhideWhenUsed/>
    <w:qFormat/>
    <w:rsid w:val="00EB3018"/>
    <w:rPr>
      <w:color w:val="605E5C"/>
      <w:shd w:val="clear" w:color="auto" w:fill="E1DFDD"/>
    </w:rPr>
  </w:style>
  <w:style w:type="character" w:customStyle="1" w:styleId="Punti">
    <w:name w:val="Punti"/>
    <w:qFormat/>
    <w:rPr>
      <w:rFonts w:ascii="OpenSymbol" w:eastAsia="OpenSymbol" w:hAnsi="OpenSymbol" w:cs="OpenSymbol"/>
    </w:rPr>
  </w:style>
  <w:style w:type="character" w:customStyle="1" w:styleId="TestocommentoCarattere">
    <w:name w:val="Testo commento Carattere"/>
    <w:basedOn w:val="Carpredefinitoparagrafo"/>
    <w:link w:val="Testocommento"/>
    <w:qFormat/>
    <w:rPr>
      <w:color w:val="00000A"/>
      <w:sz w:val="24"/>
      <w:szCs w:val="24"/>
    </w:rPr>
  </w:style>
  <w:style w:type="character" w:styleId="Rimandocommento">
    <w:name w:val="annotation reference"/>
    <w:basedOn w:val="Carpredefinitoparagrafo"/>
    <w:qFormat/>
    <w:rPr>
      <w:sz w:val="18"/>
      <w:szCs w:val="18"/>
    </w:rPr>
  </w:style>
  <w:style w:type="character" w:customStyle="1" w:styleId="ListLabel1">
    <w:name w:val="ListLabel 1"/>
    <w:qFormat/>
    <w:rPr>
      <w:rFonts w:ascii="Calibri" w:hAnsi="Calibri" w:cs="OpenSymbol"/>
      <w:sz w:val="22"/>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semiHidden/>
    <w:qFormat/>
    <w:rsid w:val="00503C7B"/>
    <w:rPr>
      <w:rFonts w:ascii="Tahoma" w:hAnsi="Tahoma" w:cs="Tahoma"/>
      <w:sz w:val="16"/>
      <w:szCs w:val="16"/>
    </w:rPr>
  </w:style>
  <w:style w:type="paragraph" w:customStyle="1" w:styleId="BasicParagraph">
    <w:name w:val="[Basic Paragraph]"/>
    <w:basedOn w:val="Normale"/>
    <w:uiPriority w:val="99"/>
    <w:qFormat/>
    <w:rsid w:val="00BC74DD"/>
    <w:pPr>
      <w:spacing w:line="288" w:lineRule="auto"/>
      <w:textAlignment w:val="center"/>
    </w:pPr>
    <w:rPr>
      <w:color w:val="000000"/>
      <w:lang w:val="en-US"/>
    </w:rPr>
  </w:style>
  <w:style w:type="paragraph" w:styleId="Testocommento">
    <w:name w:val="annotation text"/>
    <w:basedOn w:val="Normale"/>
    <w:link w:val="TestocommentoCarattere"/>
    <w:qFormat/>
  </w:style>
  <w:style w:type="paragraph" w:styleId="Paragrafoelenco">
    <w:name w:val="List Paragraph"/>
    <w:basedOn w:val="Normale"/>
    <w:uiPriority w:val="34"/>
    <w:qFormat/>
    <w:rsid w:val="00E75749"/>
    <w:pPr>
      <w:ind w:left="720"/>
      <w:contextualSpacing/>
    </w:pPr>
  </w:style>
  <w:style w:type="table" w:styleId="Grigliatabella">
    <w:name w:val="Table Grid"/>
    <w:basedOn w:val="Tabellanormale"/>
    <w:rsid w:val="00EB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3F42"/>
    <w:pPr>
      <w:spacing w:before="100" w:beforeAutospacing="1" w:after="142" w:line="276"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90421-8CCA-427B-901E-83BB18C0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848</Words>
  <Characters>4836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Distinti saluti</vt:lpstr>
    </vt:vector>
  </TitlesOfParts>
  <Company>A.M.A.G. S.p.A.</Company>
  <LinksUpToDate>false</LinksUpToDate>
  <CharactersWithSpaces>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Distinti saluti</dc:title>
  <dc:subject/>
  <dc:creator>Ghoe</dc:creator>
  <dc:description/>
  <cp:lastModifiedBy>Barbara Laveggio</cp:lastModifiedBy>
  <cp:revision>11</cp:revision>
  <cp:lastPrinted>2018-10-25T14:33:00Z</cp:lastPrinted>
  <dcterms:created xsi:type="dcterms:W3CDTF">2018-10-25T14:28:00Z</dcterms:created>
  <dcterms:modified xsi:type="dcterms:W3CDTF">2018-10-28T11:07:00Z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A.M.A.G.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